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INADEQUATE DEIS FOR THE NESE PROJECT, CP17-101</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that true public input to the DEIS is impossible since:</w:t>
      </w:r>
    </w:p>
    <w:p w:rsidR="00000000" w:rsidDel="00000000" w:rsidP="00000000" w:rsidRDefault="00000000" w:rsidRPr="00000000" w14:paraId="00000004">
      <w:pPr>
        <w:spacing w:after="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DEIS was fraught with numerous data/information gaps, incomplete analyses of potential adverse impacts, and assumptions without providing supporting scientifically-based evidence.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DEIS does not address all of the concerns that have been raised by the public and elected officials.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period provided for the public to review the DEIS and prepare to provide public input is inadequate since the missing information and analyses should be available for consideration prior to the end of the comment period.</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FERC concluded that “approval of the Project would result in some adverse environmental impacts; however, all impacts would be reduced to less-than-significant levels with the implementation of Transco’s proposed mitigation and the additional measures recommended in the draft EIS” could not possibly be accurate since FERC identified missing data and studies in their requests to Williams/Transco in the DEIS.</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I request that FERC obtain and publish all identified missing information, studies and data; analyze and independently verify it thoroughly; and make sure that all comments from the public and elected officials are adequately addressed.  I request that FERC issue a supplemental or revised draft Environmental Impact Statement that includes the missing data and analyses of impacts and then allows for at least an additional 45-day comment period after it is published.</w:t>
      </w:r>
    </w:p>
    <w:p w:rsidR="00000000" w:rsidDel="00000000" w:rsidP="00000000" w:rsidRDefault="00000000" w:rsidRPr="00000000" w14:paraId="00000009">
      <w:pPr>
        <w:spacing w:after="120" w:lineRule="auto"/>
        <w:ind w:left="1008"/>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b w:val="1"/>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